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99" w:rsidRPr="00F42CC7" w:rsidRDefault="00044599" w:rsidP="00044599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x-none"/>
        </w:rPr>
      </w:pP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u w:val="single"/>
          <w:lang w:val="x-none"/>
        </w:rPr>
        <w:t>Taina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u w:val="single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u w:val="single"/>
          <w:lang w:val="x-none"/>
        </w:rPr>
        <w:t>Spovedaniei</w:t>
      </w:r>
      <w:proofErr w:type="spellEnd"/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42CC7">
        <w:rPr>
          <w:rFonts w:ascii="Times New Roman" w:hAnsi="Times New Roman" w:cs="Times New Roman"/>
          <w:sz w:val="24"/>
          <w:szCs w:val="24"/>
          <w:lang w:val="x-none"/>
        </w:rPr>
        <w:t>« 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Dacã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zicem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nu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avem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ne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amãgim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noi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înşine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adevãrul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nu este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întru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noi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Dacã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mãrturisim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pãcatele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noastre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, El (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Dumnezeu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) este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credincios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drept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ca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ierte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pãcatele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curãteascã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toatã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nedreptatea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 » (I Ioan 1, 8-9).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Este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Taina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care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Dumnezeu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iartã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</w:t>
      </w:r>
      <w:bookmarkStart w:id="0" w:name="_GoBack"/>
      <w:bookmarkEnd w:id="0"/>
      <w:r w:rsidRPr="00F42CC7">
        <w:rPr>
          <w:rFonts w:ascii="Times New Roman" w:hAnsi="Times New Roman" w:cs="Times New Roman"/>
          <w:sz w:val="24"/>
          <w:szCs w:val="24"/>
          <w:lang w:val="x-none"/>
        </w:rPr>
        <w:t>rin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duhovnic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pãcatele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credincioşilor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care se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cãiesc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sincer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se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mãrturisesc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înaintea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preotului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cadrul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slujbei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specifice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Aceastã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Sfântã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Tainã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fost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anunţată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Mântuitorul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Hristos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înainte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Înviere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prin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afirmaţia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 : « Amin,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grãiesc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vouã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Apostolilor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) :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oricâte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veţi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lega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pãmânt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vor fi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legate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oricâte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veţi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dezlega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pãmânt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vor fi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dezlegate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 »(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Matei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18,18) ;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apoi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fost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instituitã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dupã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Înviere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prin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cuvintele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 : « 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Luaţi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Duh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Sfânt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cãrora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veţi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ierta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pãcatele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li se vor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ierta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cãrora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le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veţi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ţine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ţinute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vor fi »(Ioan 20, 22). 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Privitor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la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săvârşitorii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acestei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Sfinte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Taine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Sfântul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Ioan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Gurã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Aur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scrie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tratatul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« 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Despre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preoţie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 » : « 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Preoţii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locuiesc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pãmânt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dar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dispun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cãci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au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primit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o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putere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care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Dumnezeu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n-a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dat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-o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nici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îngerilor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…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cãci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orice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hotãrãsc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jos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confirmã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Dumnezeu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sus… ». Se mai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numeşte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Taina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Pocăinţei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sau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Mãrturisirii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Condiţiile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mãrturisirii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corecte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 :</w:t>
      </w:r>
    </w:p>
    <w:p w:rsidR="00044599" w:rsidRPr="00F42CC7" w:rsidRDefault="00044599" w:rsidP="000445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aibã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credinţa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Dumnezeu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poate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ierta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orice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 ;</w:t>
      </w:r>
    </w:p>
    <w:p w:rsidR="00044599" w:rsidRPr="00F42CC7" w:rsidRDefault="00044599" w:rsidP="000445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fie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sincerã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completã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căinţa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recunoaşterea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vinovăţiei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 ;</w:t>
      </w:r>
    </w:p>
    <w:p w:rsidR="00044599" w:rsidRPr="00F42CC7" w:rsidRDefault="00044599" w:rsidP="000445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conţină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hotãrârea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îndreptare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constatarea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realităţii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de la o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spovedanie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alta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 ;</w:t>
      </w:r>
    </w:p>
    <w:p w:rsidR="00044599" w:rsidRPr="00F42CC7" w:rsidRDefault="00044599" w:rsidP="000445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considerare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canonul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dat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duhovnic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sã-l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împlineascã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Momentele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Tainei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sunt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 :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căinţă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hotãrârea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îndreptare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analizarea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conştiinţei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citirea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molitfei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mãrturisirea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pãcatelor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dezlegarea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canonul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Formula de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dezlegare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este : « 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Domnul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Dumnezeul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Mântuitorul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nostru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Iisus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Hristos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darul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îndurãrile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iubirii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Sale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oameni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ierte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tine …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să-ţi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lase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ţie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toate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pãcatele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. Iar eu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nevrednicul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preot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duhovnic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puterea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ce-mi este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datã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iert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dezleg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toate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pãcatele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tale,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numele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Tatãlui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Fiului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Sfântului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Duh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 » (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Molitfelnicul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ortodox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). 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Efectele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Tainei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sunt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: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iertarea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pãcatelor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mãrturisite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restabilirea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comuniunii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Dumnezeu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de care ne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îndepãrteazã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precum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comuniunii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semenii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toatã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creaţia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ce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înseamnã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reintrarea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starea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har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Momentul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spovedaniei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 :</w:t>
      </w:r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este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obligatorie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adulţi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înainte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primirea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Euharistiei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însã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nu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toţi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care se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spovedesc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se pot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împărtăşi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întrucât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anumite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credinciosul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poate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fi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oprit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împărtăşit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o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anumitã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perioadã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conform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canoanelor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Bisericii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aprecierii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duhovnicului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Trebuie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apelãm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Taina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Spovedaniei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cât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mai des,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ori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câte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ori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simţim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sufletul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împovãrat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indiferent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dacã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putem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sau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nu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împărtăşim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Adevãrata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pocăinţă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constã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întoarcerea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Domnul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Hristos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învăţătura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Evangheliei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Sale,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pãrãsirea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cãilor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rele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cãutarea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spre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mântuire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fugi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calea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largã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desfãtãrilor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plãcerilor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lumii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acesteia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umbla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« 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calea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strâmtã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 … care duce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viaţa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veşnică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» (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Matei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7, 14).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Sfântul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Ioan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Damaschin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spune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pocăinţa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este « 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întoarcerea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dintru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afarã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fire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dupã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fire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diavol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Dumnezeu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prin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nevoinţă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ostenealã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 ». 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Cuvântul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grecesc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« 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metanoia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 »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înseamnã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o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transformare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profundã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o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schimbare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radicalã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convingerilor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o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trecere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dincolo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prin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încetarea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săvârşirii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lui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un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început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nou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viaţă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un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câmp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nou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lucru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har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adevãr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Sensul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creştin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al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pocăinţei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înseamnã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aşadar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o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neîncetatã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înnoire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omului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« o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mutaţie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minţii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 », o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naştere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din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nou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lastRenderedPageBreak/>
        <w:t>Mântuitorul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Hristos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învaţă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orice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întoarcere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drumul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este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posibilã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orice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întoarcere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însoţită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căinţă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este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primitã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Dumnezeu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binecuvântatã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iertarea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pãcatelor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cazul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fiului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risipitor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– Luca 15, 11-32).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Sfinţii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Părinţi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ne-au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lãsat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anumite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cuvinte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învăţătura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privitoare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Taina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Spovedaniei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 .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Astfel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Sfântul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Isaac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Şirul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întrebat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fiind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ce este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pocăinţa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rãspunde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: “este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pãrãsirea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mai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înainte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întristarea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ele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”.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Sf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. Maxim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Mãrturisitorul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spune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“este o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mãrturisire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mulţumire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binefacerile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primite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mulţumire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care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izvorăşte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din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lucrarea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harului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ce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crede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o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mãrturisire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pricinuitã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mustrare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certare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fãrãdelegi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“.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Cuviosul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Teognost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afirmã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“nu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vom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fi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pedepsiţi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osândiţi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veacul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ce va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vie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pãcãtuit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ci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fiindcã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pãcãtuind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nu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ne-am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pocãit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nici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nu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ne-am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întors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calea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spre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Domnul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“.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Cuviosul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Isaia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Pustnicul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zice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:  « 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când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va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pãrãsi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omul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pãcatele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se va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întoarce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Dumnezeu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pocăinţa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să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va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naşte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doua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oarã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-l va face om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nou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 ».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Cuviosul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Teolipt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al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Filadelfiei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învaţă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« 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precum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când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apare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lumina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întunericul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se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împrăştie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aşa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lumina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mãrturisirii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şterge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gândurile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patimilor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fiind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ele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întuneric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 ».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Tertulian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scria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« 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pocăinţa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este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datã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spre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curăţirea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minţii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pentru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orice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întinãciune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fi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pricinuit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orice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fi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adus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neştiinţă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inima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omului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acestea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mãrturisindu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-le,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înlãturându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-le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dându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-le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afarã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pocăinţa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sã-i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pregãteascã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Duhului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Sfânt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un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sălaş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curat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inimã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unde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El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vinã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se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aşeze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bunãvoie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împreunã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bucuriile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Sale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cereşti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 ». 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Sfântul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Ioan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Gurã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Aur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pune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problema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pãcatului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pocăinţei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între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limitele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uşurătăţii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minte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şi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deznãdãjduirii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. El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spune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uşurătatea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minte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duce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hotãrâri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ca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aceea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« 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fiului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risipitor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 »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când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plecat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la casa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pãrinteascã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iar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deznãdãjduirea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duce la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hotãrâri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ca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aceea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 lui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Iuda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spânzurarea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dupã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vinderea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Mântuitorului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Fiul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risipitor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este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un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exemplu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al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faptului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uşurătatea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minte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dacã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nu este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conjugatã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deznãdãjduirea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are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leac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iar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leacul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este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întoarcerea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cu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căinţa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la </w:t>
      </w:r>
      <w:proofErr w:type="spellStart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Dumnezeu</w:t>
      </w:r>
      <w:proofErr w:type="spellEnd"/>
      <w:r w:rsidRPr="00F42CC7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Bibliografie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 :</w:t>
      </w:r>
    </w:p>
    <w:p w:rsidR="00044599" w:rsidRPr="00F42CC7" w:rsidRDefault="00044599" w:rsidP="000445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Noul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Testament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cu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Psalmii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, Bucureşti, 1972</w:t>
      </w:r>
    </w:p>
    <w:p w:rsidR="00044599" w:rsidRPr="00F42CC7" w:rsidRDefault="00044599" w:rsidP="000445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Pr.dr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. George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Remete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Dogmatica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Ortodoxã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, Alba-Iulia, 1996</w:t>
      </w:r>
    </w:p>
    <w:p w:rsidR="00044599" w:rsidRPr="00F42CC7" w:rsidRDefault="00044599" w:rsidP="000445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Arhim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. Ilie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Cleopa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Cãlãuzã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credinţa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ortodoxã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, Galaţi, 1991</w:t>
      </w:r>
    </w:p>
    <w:p w:rsidR="00044599" w:rsidRPr="00F42CC7" w:rsidRDefault="00044599" w:rsidP="000445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Pr. Viorel Sava,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Taina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mãrturisirii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în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riturile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liturgice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F42CC7">
        <w:rPr>
          <w:rFonts w:ascii="Times New Roman" w:hAnsi="Times New Roman" w:cs="Times New Roman"/>
          <w:sz w:val="24"/>
          <w:szCs w:val="24"/>
          <w:lang w:val="x-none"/>
        </w:rPr>
        <w:t>actuale</w:t>
      </w:r>
      <w:proofErr w:type="spellEnd"/>
      <w:r w:rsidRPr="00F42CC7">
        <w:rPr>
          <w:rFonts w:ascii="Times New Roman" w:hAnsi="Times New Roman" w:cs="Times New Roman"/>
          <w:sz w:val="24"/>
          <w:szCs w:val="24"/>
          <w:lang w:val="x-none"/>
        </w:rPr>
        <w:t>, Iaşi,1999</w:t>
      </w: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44599" w:rsidRPr="00F42CC7" w:rsidRDefault="00044599" w:rsidP="00044599">
      <w:pPr>
        <w:autoSpaceDE w:val="0"/>
        <w:autoSpaceDN w:val="0"/>
        <w:adjustRightInd w:val="0"/>
        <w:spacing w:after="0" w:line="240" w:lineRule="auto"/>
        <w:ind w:left="7785" w:firstLine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42CC7">
        <w:rPr>
          <w:rFonts w:ascii="Times New Roman" w:hAnsi="Times New Roman" w:cs="Times New Roman"/>
          <w:sz w:val="24"/>
          <w:szCs w:val="24"/>
          <w:lang w:val="x-none"/>
        </w:rPr>
        <w:t>PER</w:t>
      </w:r>
    </w:p>
    <w:p w:rsidR="00E63D8B" w:rsidRPr="00F42CC7" w:rsidRDefault="00F42CC7">
      <w:pPr>
        <w:rPr>
          <w:rFonts w:ascii="Times New Roman" w:hAnsi="Times New Roman" w:cs="Times New Roman"/>
          <w:sz w:val="24"/>
          <w:szCs w:val="24"/>
        </w:rPr>
      </w:pPr>
    </w:p>
    <w:sectPr w:rsidR="00E63D8B" w:rsidRPr="00F42CC7" w:rsidSect="008F5457">
      <w:pgSz w:w="11906" w:h="16838"/>
      <w:pgMar w:top="850" w:right="567" w:bottom="850" w:left="1417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CB17E"/>
    <w:multiLevelType w:val="multilevel"/>
    <w:tmpl w:val="53AEA64B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99"/>
    <w:rsid w:val="00044599"/>
    <w:rsid w:val="00484437"/>
    <w:rsid w:val="00586794"/>
    <w:rsid w:val="00F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FCDF9-71F3-4767-A12D-5B69B525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renoi</dc:creator>
  <cp:keywords/>
  <dc:description/>
  <cp:lastModifiedBy>renoi</cp:lastModifiedBy>
  <cp:revision>3</cp:revision>
  <dcterms:created xsi:type="dcterms:W3CDTF">2022-04-19T13:34:00Z</dcterms:created>
  <dcterms:modified xsi:type="dcterms:W3CDTF">2022-04-19T13:59:00Z</dcterms:modified>
</cp:coreProperties>
</file>